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360"/>
        </w:tabs>
        <w:spacing w:line="288" w:lineRule="auto"/>
        <w:jc w:val="center"/>
        <w:rPr>
          <w:rFonts w:hint="eastAsia"/>
          <w:b/>
          <w:bCs/>
          <w:sz w:val="32"/>
          <w:szCs w:val="32"/>
          <w:lang w:val="en-US" w:eastAsia="zh-CN"/>
        </w:rPr>
      </w:pPr>
      <w:bookmarkStart w:id="0" w:name="_GoBack"/>
      <w:r>
        <w:rPr>
          <w:rFonts w:hint="eastAsia"/>
          <w:b/>
          <w:bCs/>
          <w:sz w:val="32"/>
          <w:szCs w:val="32"/>
          <w:lang w:val="en-US" w:eastAsia="zh-CN"/>
        </w:rPr>
        <w:t>大学生医保政策及西南大学大学生公费医疗补助政策</w:t>
      </w:r>
    </w:p>
    <w:bookmarkEnd w:id="0"/>
    <w:p>
      <w:pPr>
        <w:numPr>
          <w:ilvl w:val="0"/>
          <w:numId w:val="0"/>
        </w:numPr>
        <w:tabs>
          <w:tab w:val="left" w:pos="9360"/>
        </w:tabs>
        <w:spacing w:line="288" w:lineRule="auto"/>
        <w:jc w:val="left"/>
        <w:rPr>
          <w:rFonts w:hint="default" w:ascii="宋体" w:hAnsi="宋体" w:eastAsia="宋体" w:cs="宋体"/>
          <w:b/>
          <w:bCs/>
          <w:sz w:val="24"/>
          <w:lang w:val="en-US" w:eastAsia="zh-CN"/>
        </w:rPr>
      </w:pPr>
    </w:p>
    <w:p>
      <w:pPr>
        <w:numPr>
          <w:ilvl w:val="0"/>
          <w:numId w:val="0"/>
        </w:numPr>
        <w:tabs>
          <w:tab w:val="left" w:pos="9360"/>
        </w:tabs>
        <w:spacing w:line="288" w:lineRule="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一、</w:t>
      </w:r>
      <w:r>
        <w:rPr>
          <w:rFonts w:hint="eastAsia" w:ascii="黑体" w:hAnsi="黑体" w:eastAsia="黑体" w:cs="黑体"/>
          <w:b w:val="0"/>
          <w:bCs w:val="0"/>
          <w:sz w:val="28"/>
          <w:szCs w:val="28"/>
        </w:rPr>
        <w:t>大学生医保报销政策</w:t>
      </w:r>
    </w:p>
    <w:p>
      <w:pPr>
        <w:tabs>
          <w:tab w:val="left" w:pos="9360"/>
        </w:tabs>
        <w:spacing w:line="288"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（一）门诊：</w:t>
      </w:r>
      <w:r>
        <w:rPr>
          <w:rFonts w:hint="eastAsia" w:ascii="方正仿宋_GBK" w:hAnsi="方正仿宋_GBK" w:eastAsia="方正仿宋_GBK" w:cs="方正仿宋_GBK"/>
          <w:bCs/>
          <w:color w:val="000000"/>
          <w:sz w:val="28"/>
          <w:szCs w:val="28"/>
        </w:rPr>
        <w:t>在学校医院就诊使用，每年可享受300元门诊医疗费(每年根据上年医保经费使用情况作相应调</w:t>
      </w:r>
      <w:r>
        <w:rPr>
          <w:rFonts w:hint="eastAsia" w:ascii="方正仿宋_GBK" w:hAnsi="方正仿宋_GBK" w:eastAsia="方正仿宋_GBK" w:cs="方正仿宋_GBK"/>
          <w:bCs/>
          <w:sz w:val="28"/>
          <w:szCs w:val="28"/>
        </w:rPr>
        <w:t>整)。</w:t>
      </w:r>
      <w:r>
        <w:rPr>
          <w:rFonts w:hint="eastAsia" w:ascii="方正仿宋_GBK" w:hAnsi="方正仿宋_GBK" w:eastAsia="方正仿宋_GBK" w:cs="方正仿宋_GBK"/>
          <w:sz w:val="28"/>
          <w:szCs w:val="28"/>
        </w:rPr>
        <w:t>每次普通门诊纳入报销的医药费用报销比例为一档75%、二档80%。同时，对特病和重大疾病门诊按住院报销比例进行报销，比居民医保比例更高。意外伤害门诊也可以报销，报销比例为80%。</w:t>
      </w:r>
    </w:p>
    <w:p>
      <w:pPr>
        <w:tabs>
          <w:tab w:val="left" w:pos="9360"/>
        </w:tabs>
        <w:spacing w:line="288"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（二）住院：</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7"/>
        <w:gridCol w:w="1738"/>
        <w:gridCol w:w="189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337" w:type="dxa"/>
            <w:vAlign w:val="center"/>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医院级别</w:t>
            </w:r>
          </w:p>
        </w:tc>
        <w:tc>
          <w:tcPr>
            <w:tcW w:w="1738" w:type="dxa"/>
            <w:vAlign w:val="center"/>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一级</w:t>
            </w:r>
          </w:p>
        </w:tc>
        <w:tc>
          <w:tcPr>
            <w:tcW w:w="1890" w:type="dxa"/>
            <w:vAlign w:val="center"/>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二级</w:t>
            </w:r>
          </w:p>
        </w:tc>
        <w:tc>
          <w:tcPr>
            <w:tcW w:w="2100" w:type="dxa"/>
            <w:vAlign w:val="center"/>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起付线（门槛费）</w:t>
            </w:r>
          </w:p>
        </w:tc>
        <w:tc>
          <w:tcPr>
            <w:tcW w:w="1738"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100元/次</w:t>
            </w:r>
          </w:p>
        </w:tc>
        <w:tc>
          <w:tcPr>
            <w:tcW w:w="189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300元/次</w:t>
            </w:r>
          </w:p>
        </w:tc>
        <w:tc>
          <w:tcPr>
            <w:tcW w:w="210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800元/次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一档</w:t>
            </w:r>
          </w:p>
        </w:tc>
        <w:tc>
          <w:tcPr>
            <w:tcW w:w="1738"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80%</w:t>
            </w:r>
          </w:p>
        </w:tc>
        <w:tc>
          <w:tcPr>
            <w:tcW w:w="189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70%</w:t>
            </w:r>
          </w:p>
        </w:tc>
        <w:tc>
          <w:tcPr>
            <w:tcW w:w="210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7"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二档</w:t>
            </w:r>
          </w:p>
        </w:tc>
        <w:tc>
          <w:tcPr>
            <w:tcW w:w="1738"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85%</w:t>
            </w:r>
          </w:p>
        </w:tc>
        <w:tc>
          <w:tcPr>
            <w:tcW w:w="189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75%</w:t>
            </w:r>
          </w:p>
        </w:tc>
        <w:tc>
          <w:tcPr>
            <w:tcW w:w="2100" w:type="dxa"/>
          </w:tcPr>
          <w:p>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65%</w:t>
            </w:r>
          </w:p>
        </w:tc>
      </w:tr>
    </w:tbl>
    <w:p>
      <w:pPr>
        <w:numPr>
          <w:ilvl w:val="0"/>
          <w:numId w:val="0"/>
        </w:numPr>
        <w:tabs>
          <w:tab w:val="left" w:pos="9360"/>
        </w:tabs>
        <w:spacing w:line="288" w:lineRule="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提醒：1.</w:t>
      </w:r>
      <w:r>
        <w:rPr>
          <w:rFonts w:hint="eastAsia" w:ascii="方正仿宋_GBK" w:hAnsi="方正仿宋_GBK" w:eastAsia="方正仿宋_GBK" w:cs="方正仿宋_GBK"/>
          <w:sz w:val="28"/>
          <w:szCs w:val="28"/>
        </w:rPr>
        <w:t>校医院(二级医院）住院，报销比例按一级医院报销。</w:t>
      </w:r>
    </w:p>
    <w:p>
      <w:pPr>
        <w:numPr>
          <w:ilvl w:val="0"/>
          <w:numId w:val="0"/>
        </w:numPr>
        <w:tabs>
          <w:tab w:val="left" w:pos="9360"/>
        </w:tabs>
        <w:spacing w:line="288" w:lineRule="auto"/>
        <w:ind w:firstLine="840" w:firstLineChars="3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2. </w:t>
      </w:r>
      <w:r>
        <w:rPr>
          <w:rFonts w:hint="eastAsia" w:ascii="方正仿宋_GBK" w:hAnsi="方正仿宋_GBK" w:eastAsia="方正仿宋_GBK" w:cs="方正仿宋_GBK"/>
          <w:sz w:val="28"/>
          <w:szCs w:val="28"/>
        </w:rPr>
        <w:t>住院封顶线</w:t>
      </w:r>
      <w:r>
        <w:rPr>
          <w:rFonts w:hint="eastAsia" w:ascii="方正仿宋_GBK" w:hAnsi="方正仿宋_GBK" w:eastAsia="方正仿宋_GBK" w:cs="方正仿宋_GBK"/>
          <w:spacing w:val="12"/>
          <w:sz w:val="28"/>
          <w:szCs w:val="28"/>
          <w:shd w:val="clear" w:color="auto" w:fill="FFFFFF"/>
        </w:rPr>
        <w:t>一档8万元/年；二档12万元/年。</w:t>
      </w:r>
    </w:p>
    <w:p>
      <w:pPr>
        <w:numPr>
          <w:ilvl w:val="0"/>
          <w:numId w:val="0"/>
        </w:numPr>
        <w:tabs>
          <w:tab w:val="left" w:pos="9360"/>
        </w:tabs>
        <w:spacing w:line="288" w:lineRule="auto"/>
        <w:ind w:firstLine="840" w:firstLineChars="300"/>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lang w:val="en-US" w:eastAsia="zh-CN"/>
        </w:rPr>
        <w:t xml:space="preserve">3. </w:t>
      </w:r>
      <w:r>
        <w:rPr>
          <w:rFonts w:hint="eastAsia" w:ascii="方正仿宋_GBK" w:hAnsi="方正仿宋_GBK" w:eastAsia="方正仿宋_GBK" w:cs="方正仿宋_GBK"/>
          <w:bCs/>
          <w:sz w:val="28"/>
          <w:szCs w:val="28"/>
        </w:rPr>
        <w:t>大学生医保在二级医院住院报销比例比居民医保多报销10%，在三级医院多报销20%。</w:t>
      </w:r>
    </w:p>
    <w:p>
      <w:pPr>
        <w:numPr>
          <w:ilvl w:val="0"/>
          <w:numId w:val="0"/>
        </w:numPr>
        <w:tabs>
          <w:tab w:val="left" w:pos="9360"/>
        </w:tabs>
        <w:spacing w:line="288" w:lineRule="auto"/>
        <w:ind w:firstLine="840" w:firstLineChars="300"/>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lang w:val="en-US" w:eastAsia="zh-CN"/>
        </w:rPr>
        <w:t xml:space="preserve">4. </w:t>
      </w:r>
      <w:r>
        <w:rPr>
          <w:rFonts w:hint="eastAsia" w:ascii="方正仿宋_GBK" w:hAnsi="方正仿宋_GBK" w:eastAsia="方正仿宋_GBK" w:cs="方正仿宋_GBK"/>
          <w:bCs/>
          <w:sz w:val="28"/>
          <w:szCs w:val="28"/>
        </w:rPr>
        <w:t>到北碚区外的市内三级医疗机构和市外医疗机构住院需办理就医备案。</w:t>
      </w:r>
    </w:p>
    <w:p>
      <w:pPr>
        <w:numPr>
          <w:ilvl w:val="0"/>
          <w:numId w:val="0"/>
        </w:numPr>
        <w:tabs>
          <w:tab w:val="left" w:pos="9360"/>
        </w:tabs>
        <w:spacing w:line="288" w:lineRule="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二、西南大学大学生公费医疗补助</w:t>
      </w:r>
    </w:p>
    <w:p>
      <w:pPr>
        <w:tabs>
          <w:tab w:val="left" w:pos="9360"/>
        </w:tabs>
        <w:spacing w:line="288" w:lineRule="auto"/>
        <w:ind w:firstLine="560" w:firstLineChars="200"/>
        <w:rPr>
          <w:rFonts w:hint="eastAsia" w:ascii="方正仿宋_GBK" w:hAnsi="方正仿宋_GBK" w:eastAsia="方正仿宋_GBK" w:cs="方正仿宋_GBK"/>
          <w:bCs/>
          <w:color w:val="000000"/>
          <w:sz w:val="28"/>
          <w:szCs w:val="28"/>
        </w:rPr>
      </w:pPr>
      <w:r>
        <w:rPr>
          <w:rFonts w:hint="eastAsia" w:ascii="方正仿宋_GBK" w:hAnsi="方正仿宋_GBK" w:eastAsia="方正仿宋_GBK" w:cs="方正仿宋_GBK"/>
          <w:sz w:val="28"/>
          <w:szCs w:val="28"/>
        </w:rPr>
        <w:t>为鼓励学生参保，参加大学生医保的学生，在重庆市内医院住院的，在大学生医保报销的基础上，学校还按规定给予一定住院医疗补助（寒</w:t>
      </w:r>
      <w:r>
        <w:rPr>
          <w:rFonts w:hint="eastAsia" w:ascii="方正仿宋_GBK" w:hAnsi="方正仿宋_GBK" w:eastAsia="方正仿宋_GBK" w:cs="方正仿宋_GBK"/>
          <w:bCs/>
          <w:color w:val="000000"/>
          <w:sz w:val="28"/>
          <w:szCs w:val="28"/>
        </w:rPr>
        <w:t>暑假期间住院除外）。补助比例因医院级别不同而不同。鼓励在校医院就诊，校医院就诊门槛费最低100元，补助比例最高达90%；区内医院门槛费200元，补助比例80%；区外三级医院门槛费300元，补助比例75%。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1C6BBB"/>
    <w:rsid w:val="3D1C6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2021-09-10T08:48:00Z</dcterms:created>
  <dc:creator>王丽妃</dc:creator>
  <cp:lastModifiedBy>王丽妃</cp:lastModifiedBy>
  <dcterms:modified xsi:type="dcterms:W3CDTF">2021-09-10T08:48:28Z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5BC03A73431C409CA62D524B728652E8</vt:lpwstr>
  </property>
</Properties>
</file>